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31" w:rsidRDefault="009E6331"/>
    <w:p w:rsidR="009E6331" w:rsidRDefault="009E6331"/>
    <w:tbl>
      <w:tblPr>
        <w:tblW w:w="5190" w:type="pct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4"/>
      </w:tblGrid>
      <w:tr w:rsidR="009E6331" w:rsidRPr="00ED3AA2" w:rsidTr="004C4D22">
        <w:trPr>
          <w:trHeight w:val="13116"/>
        </w:trPr>
        <w:tc>
          <w:tcPr>
            <w:tcW w:w="10004" w:type="dxa"/>
          </w:tcPr>
          <w:p w:rsidR="009E6331" w:rsidRPr="00CF6DE3" w:rsidRDefault="009E6331" w:rsidP="00CF6DE3">
            <w:pPr>
              <w:ind w:left="5580"/>
              <w:rPr>
                <w:sz w:val="28"/>
                <w:szCs w:val="28"/>
              </w:rPr>
            </w:pPr>
            <w:r w:rsidRPr="00CF6DE3">
              <w:rPr>
                <w:sz w:val="28"/>
                <w:szCs w:val="28"/>
              </w:rPr>
              <w:t>Приложение</w:t>
            </w:r>
          </w:p>
          <w:p w:rsidR="009E6331" w:rsidRPr="00CF6DE3" w:rsidRDefault="009E6331" w:rsidP="00CF6DE3">
            <w:pPr>
              <w:ind w:left="5580"/>
              <w:rPr>
                <w:sz w:val="28"/>
                <w:szCs w:val="28"/>
              </w:rPr>
            </w:pPr>
            <w:r w:rsidRPr="00CF6DE3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9E6331" w:rsidRPr="00CF6DE3" w:rsidRDefault="009E6331" w:rsidP="00CF6DE3">
            <w:pPr>
              <w:ind w:left="5580"/>
              <w:rPr>
                <w:color w:val="000000"/>
                <w:sz w:val="28"/>
                <w:szCs w:val="28"/>
              </w:rPr>
            </w:pPr>
            <w:r w:rsidRPr="00CF6DE3">
              <w:rPr>
                <w:color w:val="000000"/>
                <w:sz w:val="28"/>
                <w:szCs w:val="28"/>
              </w:rPr>
              <w:t>Копейского городского округа</w:t>
            </w:r>
          </w:p>
          <w:p w:rsidR="009E6331" w:rsidRPr="00CF6DE3" w:rsidRDefault="009E6331" w:rsidP="00CF6DE3">
            <w:pPr>
              <w:ind w:left="5580"/>
              <w:rPr>
                <w:color w:val="000000"/>
                <w:sz w:val="28"/>
                <w:szCs w:val="28"/>
              </w:rPr>
            </w:pPr>
            <w:r w:rsidRPr="00CF6DE3">
              <w:rPr>
                <w:color w:val="000000"/>
                <w:sz w:val="28"/>
                <w:szCs w:val="28"/>
              </w:rPr>
              <w:t>Челябинской области</w:t>
            </w:r>
          </w:p>
          <w:p w:rsidR="009E6331" w:rsidRPr="00ED3AA2" w:rsidRDefault="009E6331" w:rsidP="00CF6DE3">
            <w:pPr>
              <w:ind w:left="5671" w:right="140" w:hanging="142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от 26.02.2020</w:t>
            </w:r>
            <w:r w:rsidRPr="00A052C2">
              <w:rPr>
                <w:color w:val="000000"/>
                <w:sz w:val="26"/>
                <w:szCs w:val="26"/>
              </w:rPr>
              <w:t xml:space="preserve"> № </w:t>
            </w:r>
            <w:r>
              <w:rPr>
                <w:color w:val="000000"/>
                <w:sz w:val="26"/>
                <w:szCs w:val="26"/>
              </w:rPr>
              <w:t>834</w:t>
            </w:r>
          </w:p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065"/>
            </w:tblGrid>
            <w:tr w:rsidR="009E6331" w:rsidRPr="00ED3AA2" w:rsidTr="00895309">
              <w:trPr>
                <w:trHeight w:val="1193"/>
              </w:trPr>
              <w:tc>
                <w:tcPr>
                  <w:tcW w:w="10065" w:type="dxa"/>
                </w:tcPr>
                <w:p w:rsidR="009E6331" w:rsidRPr="00ED3AA2" w:rsidRDefault="009E6331" w:rsidP="00895309">
                  <w:pPr>
                    <w:tabs>
                      <w:tab w:val="left" w:pos="5415"/>
                    </w:tabs>
                    <w:ind w:right="14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  <w:p w:rsidR="009E6331" w:rsidRDefault="009E6331" w:rsidP="00895309">
                  <w:pPr>
                    <w:tabs>
                      <w:tab w:val="left" w:pos="5415"/>
                    </w:tabs>
                    <w:ind w:right="14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E6331" w:rsidRPr="00A1721F" w:rsidRDefault="009E6331" w:rsidP="00895309">
                  <w:pPr>
                    <w:tabs>
                      <w:tab w:val="left" w:pos="5415"/>
                    </w:tabs>
                    <w:ind w:right="1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Информация</w:t>
                  </w:r>
                </w:p>
                <w:p w:rsidR="009E6331" w:rsidRDefault="009E6331" w:rsidP="00895309">
                  <w:pPr>
                    <w:tabs>
                      <w:tab w:val="left" w:pos="5415"/>
                    </w:tabs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A1721F">
                    <w:rPr>
                      <w:sz w:val="28"/>
                      <w:szCs w:val="28"/>
                    </w:rPr>
                    <w:t xml:space="preserve">«О ходе выполнения муниципальной программы «Обеспечение </w:t>
                  </w:r>
                </w:p>
                <w:p w:rsidR="009E6331" w:rsidRPr="00A1721F" w:rsidRDefault="009E6331" w:rsidP="00895309">
                  <w:pPr>
                    <w:tabs>
                      <w:tab w:val="left" w:pos="5415"/>
                    </w:tabs>
                    <w:ind w:right="140"/>
                    <w:jc w:val="center"/>
                    <w:rPr>
                      <w:sz w:val="28"/>
                      <w:szCs w:val="28"/>
                    </w:rPr>
                  </w:pPr>
                  <w:r w:rsidRPr="00A1721F">
                    <w:rPr>
                      <w:sz w:val="28"/>
                      <w:szCs w:val="28"/>
                    </w:rPr>
                    <w:t>общественного порядка и противодействие преступности</w:t>
                  </w:r>
                </w:p>
                <w:p w:rsidR="009E6331" w:rsidRPr="00A1721F" w:rsidRDefault="009E6331" w:rsidP="00895309">
                  <w:pPr>
                    <w:widowControl w:val="0"/>
                    <w:tabs>
                      <w:tab w:val="num" w:pos="0"/>
                    </w:tabs>
                    <w:ind w:right="140" w:firstLine="709"/>
                    <w:jc w:val="center"/>
                    <w:rPr>
                      <w:sz w:val="28"/>
                      <w:szCs w:val="28"/>
                    </w:rPr>
                  </w:pPr>
                  <w:r w:rsidRPr="00A1721F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1721F">
                    <w:rPr>
                      <w:sz w:val="28"/>
                      <w:szCs w:val="28"/>
                    </w:rPr>
                    <w:t>Копейском городском округе» в 2019 году</w:t>
                  </w:r>
                </w:p>
                <w:p w:rsidR="009E6331" w:rsidRPr="00ED3AA2" w:rsidRDefault="009E6331" w:rsidP="00895309">
                  <w:pPr>
                    <w:widowControl w:val="0"/>
                    <w:tabs>
                      <w:tab w:val="num" w:pos="0"/>
                    </w:tabs>
                    <w:ind w:right="140"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E6331" w:rsidRPr="00ED3AA2" w:rsidRDefault="009E6331" w:rsidP="00895309">
                  <w:pPr>
                    <w:widowControl w:val="0"/>
                    <w:tabs>
                      <w:tab w:val="num" w:pos="0"/>
                    </w:tabs>
                    <w:ind w:right="140" w:firstLine="709"/>
                    <w:jc w:val="center"/>
                    <w:rPr>
                      <w:sz w:val="28"/>
                      <w:szCs w:val="28"/>
                    </w:rPr>
                  </w:pPr>
                </w:p>
                <w:p w:rsidR="009E6331" w:rsidRPr="00ED3AA2" w:rsidRDefault="009E6331" w:rsidP="00EF15BE">
                  <w:pPr>
                    <w:tabs>
                      <w:tab w:val="left" w:pos="5415"/>
                    </w:tabs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Постановлением администрации Копейского городского округа Челябинской области от 01.11.2018 № 2723-п «Об утверждении муниципальной программы «Обеспечение общественного порядка и противодействие преступности вКопейском городском округе» на период 2019-2021 годы были заложены финансовые средства в сумме 46 441,5 тыс. рублей</w:t>
                  </w:r>
                  <w:r>
                    <w:rPr>
                      <w:sz w:val="28"/>
                      <w:szCs w:val="28"/>
                    </w:rPr>
                    <w:t>, на 2019 год – 45 126,5 тыс. рублей</w:t>
                  </w:r>
                  <w:r w:rsidRPr="00ED3AA2">
                    <w:rPr>
                      <w:sz w:val="28"/>
                      <w:szCs w:val="28"/>
                    </w:rPr>
                    <w:t xml:space="preserve">. </w:t>
                  </w:r>
                </w:p>
                <w:p w:rsidR="009E6331" w:rsidRPr="00ED3AA2" w:rsidRDefault="009E6331" w:rsidP="00EF15BE">
                  <w:pPr>
                    <w:tabs>
                      <w:tab w:val="left" w:pos="5415"/>
                    </w:tabs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 xml:space="preserve">Постановлением администрации Копейского городского округа Челябинской области от 13.03.2019 № 617-п «О внесении изменений в постановление администрации Копейского городского округа от 01.11.2018 № 2723-п» финансовые средства приведены в соответствие с бюджетными ассигнованиями на 2019 год. </w:t>
                  </w:r>
                </w:p>
                <w:p w:rsidR="009E6331" w:rsidRPr="00ED3AA2" w:rsidRDefault="009E6331" w:rsidP="00D46A5B">
                  <w:pPr>
                    <w:tabs>
                      <w:tab w:val="left" w:pos="5415"/>
                    </w:tabs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 xml:space="preserve">В целях качественного выполнения Программы постановлением администрации Копейского городского округа от 21.10.2019 № 2549-п  «Об утверждении муниципальной программы «Обеспечение общественного порядка и противодействие преступности вКопейском городском округе» (в новой редакции)   сформированы мероприятия с учетом вносимых изменений за весь период реализации Программы. Общее финансирование </w:t>
                  </w:r>
                  <w:r>
                    <w:rPr>
                      <w:sz w:val="28"/>
                      <w:szCs w:val="28"/>
                    </w:rPr>
                    <w:t>Программы на период  2019-2021 годы</w:t>
                  </w:r>
                  <w:r w:rsidRPr="00ED3AA2">
                    <w:rPr>
                      <w:sz w:val="28"/>
                      <w:szCs w:val="28"/>
                    </w:rPr>
                    <w:t xml:space="preserve"> составило 36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D3AA2">
                    <w:rPr>
                      <w:sz w:val="28"/>
                      <w:szCs w:val="28"/>
                    </w:rPr>
                    <w:t>8,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ED3AA2">
                    <w:rPr>
                      <w:sz w:val="28"/>
                      <w:szCs w:val="28"/>
                    </w:rPr>
                    <w:t xml:space="preserve"> тыс. рублей, на 2019 год – 25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ED3AA2">
                    <w:rPr>
                      <w:sz w:val="28"/>
                      <w:szCs w:val="28"/>
                    </w:rPr>
                    <w:t>8,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ED3AA2">
                    <w:rPr>
                      <w:sz w:val="28"/>
                      <w:szCs w:val="28"/>
                    </w:rPr>
                    <w:t xml:space="preserve"> тыс. рублей</w:t>
                  </w:r>
                  <w:r>
                    <w:rPr>
                      <w:sz w:val="28"/>
                      <w:szCs w:val="28"/>
                    </w:rPr>
                    <w:t>, на 2020 год – 540,0 тыс. рублей, 2021 год – 540, тыс. рублей</w:t>
                  </w:r>
                  <w:r w:rsidRPr="00ED3AA2">
                    <w:rPr>
                      <w:sz w:val="28"/>
                      <w:szCs w:val="28"/>
                    </w:rPr>
                    <w:t>.</w:t>
                  </w:r>
                </w:p>
                <w:p w:rsidR="009E6331" w:rsidRPr="00ED3AA2" w:rsidRDefault="009E6331" w:rsidP="00EF15BE">
                  <w:pPr>
                    <w:tabs>
                      <w:tab w:val="left" w:pos="5415"/>
                    </w:tabs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Ответственным исполнителем Программы является отдел по безопасности и взаимодействию с правоохранительными органами администрации Копейского городского округа Челябинской области.</w:t>
                  </w:r>
                </w:p>
                <w:p w:rsidR="009E6331" w:rsidRPr="00ED3AA2" w:rsidRDefault="009E6331" w:rsidP="00895309">
                  <w:pPr>
                    <w:widowControl w:val="0"/>
                    <w:tabs>
                      <w:tab w:val="num" w:pos="0"/>
                    </w:tabs>
                    <w:ind w:right="140" w:firstLine="709"/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 w:rsidRPr="00ED3AA2">
                    <w:rPr>
                      <w:sz w:val="28"/>
                      <w:szCs w:val="28"/>
                    </w:rPr>
                    <w:t xml:space="preserve">Основная цель Программы: формирование действенной системы профилактики правонарушений, позволяющей снизить количество зарегистрированных на территории округа преступлений и правонарушений. 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 xml:space="preserve">Программа объединяет в себе  одиннадцать разделов, из них 5 без финансирования. 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Участниками  программы являются: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администрация Копейского городского округа (далее – округ);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Отдел Министерства внутренних дел России по городу Копейску Челябинской области (далее – ОМВД РФ по г. Копейску) (по согласованию);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прокуратура города Копейска Челябинской области (далее – прокуратура г. Копейска) (по согласованию);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отдел в городе Копейске Управления федеральной службы безопасности по Челябинской области (далее – ФСБ) (по согласованию);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отдел исполнения наказания и применения иных мер уголовно-правового характера Федерального казенного учреждения «Уголовно-исполнительная инспекция государственного учреждения федеральной службы исполнения наказания Российской Федерации по Челябинской области» (далее – ОИН ФКУ УИИ ГУФСИН России по Челябинской области) (по согласованию);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Федеральное казенное учреждение «Исправительная колония» Федеральной службы исполнения наказания России по Челябинской области (далее – ФКУ «ИК» ФСИН России по Челябинской области);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управление образования администрации округа (далее – УО);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управление социальной защиты населения администрации округа (далее – УСЗН);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управление культуры администрации округа (далее – УК);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отдел пресс-службы администрации округа (далее – СМИ);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управление физической культуры, спорта и туризма администрации округа (далее – УФК, С и Т);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отдел по делам молодежи администрации округа (далее – ОДМ);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отдел, обеспечивающий деятельность комиссии по делам несовершеннолетних и защите их прав округа (далее – КДН и ЗП);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МУ «Управление гражданской защиты населения» Копейского городского округа (далее- МУ «УГЗН»);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 xml:space="preserve">- Государственное бюджетное учреждение здравоохранения «Городская больница № </w:t>
                  </w:r>
                  <w:smartTag w:uri="urn:schemas-microsoft-com:office:smarttags" w:element="metricconverter">
                    <w:smartTagPr>
                      <w:attr w:name="ProductID" w:val="1 г"/>
                    </w:smartTagPr>
                    <w:r w:rsidRPr="00ED3AA2">
                      <w:rPr>
                        <w:sz w:val="28"/>
                        <w:szCs w:val="28"/>
                      </w:rPr>
                      <w:t>1 г</w:t>
                    </w:r>
                  </w:smartTag>
                  <w:r w:rsidRPr="00ED3AA2">
                    <w:rPr>
                      <w:sz w:val="28"/>
                      <w:szCs w:val="28"/>
                    </w:rPr>
                    <w:t xml:space="preserve">. Копейск» (ГБ № </w:t>
                  </w:r>
                  <w:smartTag w:uri="urn:schemas-microsoft-com:office:smarttags" w:element="metricconverter">
                    <w:smartTagPr>
                      <w:attr w:name="ProductID" w:val="1 г"/>
                    </w:smartTagPr>
                    <w:r w:rsidRPr="00ED3AA2">
                      <w:rPr>
                        <w:sz w:val="28"/>
                        <w:szCs w:val="28"/>
                      </w:rPr>
                      <w:t>1 г</w:t>
                    </w:r>
                  </w:smartTag>
                  <w:r w:rsidRPr="00ED3AA2">
                    <w:rPr>
                      <w:sz w:val="28"/>
                      <w:szCs w:val="28"/>
                    </w:rPr>
                    <w:t>. Копейск);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 xml:space="preserve">- Государственное бюджетное учреждение здравоохранения «Городская больница № </w:t>
                  </w:r>
                  <w:smartTag w:uri="urn:schemas-microsoft-com:office:smarttags" w:element="metricconverter">
                    <w:smartTagPr>
                      <w:attr w:name="ProductID" w:val="3 г"/>
                    </w:smartTagPr>
                    <w:r w:rsidRPr="00ED3AA2">
                      <w:rPr>
                        <w:sz w:val="28"/>
                        <w:szCs w:val="28"/>
                      </w:rPr>
                      <w:t>3 г</w:t>
                    </w:r>
                  </w:smartTag>
                  <w:r w:rsidRPr="00ED3AA2">
                    <w:rPr>
                      <w:sz w:val="28"/>
                      <w:szCs w:val="28"/>
                    </w:rPr>
                    <w:t xml:space="preserve">. Копейск» (ГБ № </w:t>
                  </w:r>
                  <w:smartTag w:uri="urn:schemas-microsoft-com:office:smarttags" w:element="metricconverter">
                    <w:smartTagPr>
                      <w:attr w:name="ProductID" w:val="3 г"/>
                    </w:smartTagPr>
                    <w:r w:rsidRPr="00ED3AA2">
                      <w:rPr>
                        <w:sz w:val="28"/>
                        <w:szCs w:val="28"/>
                      </w:rPr>
                      <w:t>3 г</w:t>
                    </w:r>
                  </w:smartTag>
                  <w:r w:rsidRPr="00ED3AA2">
                    <w:rPr>
                      <w:sz w:val="28"/>
                      <w:szCs w:val="28"/>
                    </w:rPr>
                    <w:t>. Копейск;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ГБУЗ «Врачебно-физкультурный диспансер г. Копейск» кабинет медицинской профилактики (ВФД г. Копейск);</w:t>
                  </w:r>
                </w:p>
                <w:p w:rsidR="009E6331" w:rsidRPr="00ED3AA2" w:rsidRDefault="009E6331" w:rsidP="008B3417">
                  <w:pPr>
                    <w:ind w:right="140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Центр занятости населения города Копейска (далее – ОКУ ЦЗН г. Копейска).</w:t>
                  </w:r>
                </w:p>
                <w:p w:rsidR="009E6331" w:rsidRPr="00ED3AA2" w:rsidRDefault="009E6331" w:rsidP="008B3417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В целях координации выполнения программных мероприятий и повышения результативности проводимой работы по обеспечению правопорядка на территории Копейского городского округа действуют:</w:t>
                  </w:r>
                </w:p>
                <w:p w:rsidR="009E6331" w:rsidRPr="00ED3AA2" w:rsidRDefault="009E6331" w:rsidP="008B3417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«Межведомственная комиссия по профилактике преступлений и правонарушений вКопейском городском округе»;</w:t>
                  </w:r>
                </w:p>
                <w:p w:rsidR="009E6331" w:rsidRPr="00ED3AA2" w:rsidRDefault="009E6331" w:rsidP="008B3417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«Межведомственная комиссия по вопросам противодействия проявлениям экстремизма на территории Копейского городского округа»;</w:t>
                  </w:r>
                </w:p>
                <w:p w:rsidR="009E6331" w:rsidRPr="00ED3AA2" w:rsidRDefault="009E6331" w:rsidP="008B3417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«Антитеррористическая комиссия Копейского городского округа»;</w:t>
                  </w:r>
                </w:p>
                <w:p w:rsidR="009E6331" w:rsidRPr="00ED3AA2" w:rsidRDefault="009E6331" w:rsidP="008B3417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«Комиссия по противодействию коррупции на территории Копейского городского округа»;</w:t>
                  </w:r>
                </w:p>
                <w:p w:rsidR="009E6331" w:rsidRPr="00ED3AA2" w:rsidRDefault="009E6331" w:rsidP="008B3417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«Координирующий штаб добровольных народных дружин вКопейском городском округе»;</w:t>
                  </w:r>
                </w:p>
                <w:p w:rsidR="009E6331" w:rsidRPr="00ED3AA2" w:rsidRDefault="009E6331" w:rsidP="008B3417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«Антинаркотическая комиссия Копейского городского округа».</w:t>
                  </w:r>
                </w:p>
                <w:p w:rsidR="009E6331" w:rsidRPr="00ED3AA2" w:rsidRDefault="009E6331" w:rsidP="008B3417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Деятельность данных комиссий обеспечивает отдел по безопасности и взаимодействию с правоохранительными органами администрации Копейского городского округа Челябинской области.</w:t>
                  </w:r>
                </w:p>
                <w:p w:rsidR="009E6331" w:rsidRPr="00ED3AA2" w:rsidRDefault="009E6331" w:rsidP="008B3417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 xml:space="preserve">В состав вышеперечисленных комиссий входят сотрудники отдела в г. Копейске УФСБ  России по Челябинской области, Отдела МВД России по городу Копейску, МЧС,  Росгвардии, Следственного отдела, </w:t>
                  </w:r>
                  <w:r>
                    <w:rPr>
                      <w:sz w:val="28"/>
                      <w:szCs w:val="28"/>
                    </w:rPr>
                    <w:t>отдела исполнений наказания,</w:t>
                  </w:r>
                  <w:r w:rsidRPr="00ED3AA2">
                    <w:rPr>
                      <w:sz w:val="28"/>
                      <w:szCs w:val="28"/>
                    </w:rPr>
                    <w:t>представители органов местного самоуправления, общественных организаций. Во всех заседаниях принимают участие сотрудники прокуратуры г. Копейска.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На заседания  комиссии приглашаются  руководители общеобразовательных учреждений, среднего и начального профессионального образования, управлений культуры, социальной защиты населения, физической культуры, спорта и туризма, отдела по делам молодежи и отдела, обеспечивающего деятельность комиссии по делам несовершеннолетних и защите их прав, центра занятости населения, руководители предприятий города. Введено в практику заслушивание о реализации мероприятий Программы сотрудников ФКУ ИК.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Участниками муниципальной программы, в пределах своих полномочий, в 2019 году проводилась работа, направленная на обеспечение охраны общественного порядка и безопасности на территории Копейского городского округа, снижению количества совершенных преступлений, защите прав и законных интересов граждан от преступных посягательств, а также мер по повышению общественного доверия и поддержки граждан.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Вопрос «О выполнении муниципальной программы «Обеспечение общественного порядка и противодействие преступности вКопейском городском округе» рассматривается на заседании Межведомственной комиссии по профилактике преступлений и правонарушений в Копейском городском округе»2 раза в год (2 и 4 квартал согласно Плана работы комиссии).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Вопросы, касающиеся профилактик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ED3AA2">
                    <w:rPr>
                      <w:sz w:val="28"/>
                      <w:szCs w:val="28"/>
                    </w:rPr>
                    <w:t xml:space="preserve"> в сфере безнадзорности и правонарушений несовершеннолетних, противодействия проявлениям экстремизма, пресечения нелегальной миграции,  незаконного оборота наркотиков, ресоциализации лиц, освобожденных из мест лишения свободы, профилактики терроризма, коррупции, профилактики правонарушений в общественных местах, рассматриваются на заседаниях вышеперечисленных комиссий, с принятием конкретных решений  и определением сроков исполнения. Контроль осуществляется секретарем комиссии.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В соответствиис разделом</w:t>
                  </w:r>
                  <w:r w:rsidRPr="00ED3AA2">
                    <w:rPr>
                      <w:b/>
                      <w:sz w:val="28"/>
                      <w:szCs w:val="28"/>
                    </w:rPr>
                    <w:t xml:space="preserve"> «Профилактика безнадзорности и правонарушений несовершеннолетних и молодежи»</w:t>
                  </w:r>
                  <w:r w:rsidRPr="00ED3AA2">
                    <w:rPr>
                      <w:sz w:val="28"/>
                      <w:szCs w:val="28"/>
                    </w:rPr>
                    <w:t>субъектами системы профилактики правонарушений проведены  мероприятия по выявлению лиц, злоупотребляющих спиртными напитками, ставящих семьи в тяжёлое материальное положение.</w:t>
                  </w:r>
                </w:p>
                <w:p w:rsidR="009E6331" w:rsidRPr="00ED3AA2" w:rsidRDefault="009E6331" w:rsidP="00895309">
                  <w:pPr>
                    <w:ind w:right="140" w:firstLine="720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Проведены комплексные межведомственные операции «Дети улиц», «Здоровый город» и «Подросток», а также оперативно-профилактические мероприятия «Полиция и дети», «Без наркотиков» и т.д.;  проводится работа по ведению единого банка данных о детях и семьях, находящихся в социально-опасном положении и нуждающихся в помощи со стороны государства.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D3AA2">
                    <w:rPr>
                      <w:sz w:val="28"/>
                      <w:szCs w:val="28"/>
                      <w:lang w:eastAsia="en-US"/>
                    </w:rPr>
                    <w:t>Проводимые целевые мероприятия  не позволилиснизить число совершенных преступлений несовершеннолетними, по итогам года рост числа преступлений, совершенных подростками увеличился на 20,5 %, до 88.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D3AA2">
                    <w:rPr>
                      <w:sz w:val="28"/>
                      <w:szCs w:val="28"/>
                      <w:lang w:eastAsia="en-US"/>
                    </w:rPr>
                    <w:t>Большое внимание на территории Копейского городского округа уделяется летней занятости подростков в каникулярное время и летний период, запланированные средства в сумме 158,0 тыс. рублей управлением образования реализованы в полном объеме (трудоустроено 53 ребенка).Большое внимание субъектами профилактики правонарушений уделяется несовершеннолетним, стоящим на учете в ПДН. По состоянию на 01.01.2020 года на учете  стоит 152 несовершеннолетних, из них охвачено организационными формами занятости 134 (посещение физкультурно-спортивных секций, технических кружков, художественной самодеятельности, клубов по месту жительства), охват составил 88%.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D3AA2">
                    <w:rPr>
                      <w:sz w:val="28"/>
                      <w:szCs w:val="28"/>
                      <w:lang w:eastAsia="en-US"/>
                    </w:rPr>
                    <w:t>Для повышения качества работы детско – юношеских клубов по месту жительства были направлены и реализованы бюджетные ассигнования в сумме 60,0 тыс. рублей (приобретено 3 ноутбука).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С целью повышения эффективной работы всех субъектов системы профилактики в межведомственном программном комплексе АИС «Семья и дети» приобретено рабочее место (ноутбук) и программное обеспечение АИС «Семья и дети», реализовано 39,5 тыс. рублей.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 xml:space="preserve">В соответствии с разделом </w:t>
                  </w:r>
                  <w:r w:rsidRPr="00ED3AA2">
                    <w:rPr>
                      <w:b/>
                      <w:sz w:val="28"/>
                      <w:szCs w:val="28"/>
                    </w:rPr>
                    <w:t>«Профилактика правонарушений среди лиц, проповедующих экстремизм, подготавливающих и замышляющих совершение террористических актов»</w:t>
                  </w:r>
                  <w:r w:rsidRPr="00ED3AA2">
                    <w:rPr>
                      <w:sz w:val="28"/>
                      <w:szCs w:val="28"/>
                    </w:rPr>
                    <w:t xml:space="preserve"> управлением образования, управлением культуры, управлением физической культуры, спорта и туризма, отделом по делам молодежи,  учреждениями среднего и начального профессионального образования проводится работа, направленная на воспитание толерантности, любви к Родине, формирование здорового образа жизни, профилактику экстремизма.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На повышение профессионального уровня ответственных лиц, в сфере профилактики экстремизма, в рамках реализации мероприятий муниципальной программы в 2019 году реализовано16,0 тыс. рублей. Обучено: 1 сотрудник  администрации КГО –  заместитель председателя комиссии по вопросам противодействия проявлениям экстремизма на территории Копейского городского округа, 2 сотрудника  с управления образования АКГО, 1 сотрудник с управления культуры АКГО в Российской академии народного хозяйства и государственной службы при Президенте Российской федерации по теме: «Реализация государственной национальной политики. Профилактика и противодействие проявлениям экстремизма».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сфере исполнения законодательства о федеральной безопасности, межнациональных отношениях и противодействия экстремизму 9 нарушений закона (АППГ – 7), внесено 7 представлений (АППГ – 6), 6 лиц привлечены к дисциплинарной ответственности  (АППГ – 4), объявлено 4 предостережения (АППГ – 4).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Благодаря налаженному взаимодействию по обмену информацией с Отделом МВД России по городу Копейску Челябинской области негативных проявлений при проведении мероприятий  со стороны молодежных движений не допущено.</w:t>
                  </w:r>
                </w:p>
                <w:p w:rsidR="009E6331" w:rsidRPr="00ED3AA2" w:rsidRDefault="009E6331" w:rsidP="00F00F57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 xml:space="preserve">С участием средств массовой информации проводится информационно-пропагандистская работа, направленная на предупреждение террористической и экстремистской деятельности. </w:t>
                  </w:r>
                </w:p>
                <w:p w:rsidR="009E6331" w:rsidRPr="00ED3AA2" w:rsidRDefault="009E6331" w:rsidP="00F00F57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За 2019 год в средствах массовой информации размещено:</w:t>
                  </w:r>
                </w:p>
                <w:p w:rsidR="009E6331" w:rsidRPr="00ED3AA2" w:rsidRDefault="009E6331" w:rsidP="00F00F57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официальный сайт администрации Копейского городского округа -                                 27 публикаций;</w:t>
                  </w:r>
                </w:p>
                <w:p w:rsidR="009E6331" w:rsidRPr="00ED3AA2" w:rsidRDefault="009E6331" w:rsidP="00F00F57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 xml:space="preserve">сайт: </w:t>
                  </w:r>
                  <w:r w:rsidRPr="00ED3AA2">
                    <w:rPr>
                      <w:sz w:val="28"/>
                      <w:szCs w:val="28"/>
                      <w:lang w:val="en-US"/>
                    </w:rPr>
                    <w:t>kopok</w:t>
                  </w:r>
                  <w:r w:rsidRPr="00ED3AA2">
                    <w:rPr>
                      <w:sz w:val="28"/>
                      <w:szCs w:val="28"/>
                    </w:rPr>
                    <w:t>.</w:t>
                  </w:r>
                  <w:r w:rsidRPr="00ED3AA2">
                    <w:rPr>
                      <w:sz w:val="28"/>
                      <w:szCs w:val="28"/>
                      <w:lang w:val="en-US"/>
                    </w:rPr>
                    <w:t>ru</w:t>
                  </w:r>
                  <w:r w:rsidRPr="00ED3AA2">
                    <w:rPr>
                      <w:sz w:val="28"/>
                      <w:szCs w:val="28"/>
                    </w:rPr>
                    <w:t xml:space="preserve"> – 12;</w:t>
                  </w:r>
                </w:p>
                <w:p w:rsidR="009E6331" w:rsidRPr="00ED3AA2" w:rsidRDefault="009E6331" w:rsidP="00F00F57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наКопейском телевидении -  10 телесюжетов;</w:t>
                  </w:r>
                </w:p>
                <w:p w:rsidR="009E6331" w:rsidRPr="00ED3AA2" w:rsidRDefault="009E6331" w:rsidP="00F00F57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на телеканале ИНСИТ-ТВ – 15 телесюжетов;</w:t>
                  </w:r>
                </w:p>
                <w:p w:rsidR="009E6331" w:rsidRPr="00ED3AA2" w:rsidRDefault="009E6331" w:rsidP="00F00F57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 xml:space="preserve">газета «Копейский рабочий» – 10 публикаций (в том числе и на сайте газеты). </w:t>
                  </w:r>
                </w:p>
                <w:p w:rsidR="009E6331" w:rsidRPr="00ED3AA2" w:rsidRDefault="009E6331" w:rsidP="00F00F57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 xml:space="preserve">В соответствии с разделом </w:t>
                  </w:r>
                  <w:r w:rsidRPr="00ED3AA2">
                    <w:rPr>
                      <w:b/>
                      <w:bCs/>
                      <w:spacing w:val="2"/>
                      <w:sz w:val="28"/>
                      <w:szCs w:val="28"/>
                    </w:rPr>
                    <w:t>«Профилактика нарушений законодательства о гражданстве, предупреждение и пресечение нелегальной миграции»</w:t>
                  </w:r>
                  <w:r w:rsidRPr="00ED3AA2">
                    <w:rPr>
                      <w:bCs/>
                      <w:spacing w:val="2"/>
                      <w:sz w:val="28"/>
                      <w:szCs w:val="28"/>
                    </w:rPr>
                    <w:t xml:space="preserve"> (без финансирования) </w:t>
                  </w:r>
                  <w:r w:rsidRPr="00ED3AA2">
                    <w:rPr>
                      <w:sz w:val="28"/>
                      <w:szCs w:val="28"/>
                    </w:rPr>
                    <w:t xml:space="preserve">сотрудниками </w:t>
                  </w:r>
                  <w:r w:rsidRPr="00ED3AA2">
                    <w:rPr>
                      <w:noProof/>
                      <w:sz w:val="28"/>
                      <w:szCs w:val="28"/>
                    </w:rPr>
                    <w:t>отдела по вопросам миграции</w:t>
                  </w:r>
                  <w:r w:rsidRPr="00ED3AA2">
                    <w:rPr>
                      <w:sz w:val="28"/>
                      <w:szCs w:val="28"/>
                    </w:rPr>
                    <w:t xml:space="preserve"> Отдела МВД России по городу Копейску </w:t>
                  </w:r>
                  <w:r w:rsidRPr="00ED3AA2">
                    <w:rPr>
                      <w:noProof/>
                      <w:sz w:val="28"/>
                      <w:szCs w:val="28"/>
                    </w:rPr>
                    <w:t>проводятся оперативно-профилактические мероприятия</w:t>
                  </w:r>
                  <w:r w:rsidRPr="001D0EF8">
                    <w:rPr>
                      <w:sz w:val="28"/>
                      <w:szCs w:val="28"/>
                    </w:rPr>
                    <w:t>.</w:t>
                  </w:r>
                </w:p>
                <w:p w:rsidR="009E6331" w:rsidRPr="00ED3AA2" w:rsidRDefault="009E6331" w:rsidP="00F00F57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 xml:space="preserve">За отчетный период 2019 года поставлено на миграционный учет иностранных граждан и лиц без гражданства по месту временного пребывания – 2349 человек (2279 – рост на 2,98 %). </w:t>
                  </w:r>
                </w:p>
                <w:p w:rsidR="009E6331" w:rsidRPr="00ED3AA2" w:rsidRDefault="009E6331" w:rsidP="00F00F57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Снято с миграционного учета – 2288 человек. Состоит на миграционном учете на 30.11.2019 – 782 человек, из них в местах лишения свободы - 258.</w:t>
                  </w:r>
                </w:p>
                <w:p w:rsidR="009E6331" w:rsidRPr="00ED3AA2" w:rsidRDefault="009E6331" w:rsidP="00F00F57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Проживает иностранных граждан по разрешению на временное проживание – 287 человека (268 - рост на 6,62%).</w:t>
                  </w:r>
                </w:p>
                <w:p w:rsidR="009E6331" w:rsidRPr="00ED3AA2" w:rsidRDefault="009E6331" w:rsidP="00F00F57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Выявлено преступлений предусмотренных ст. 322.2, 322.3 УК РФ (фиктивная регистрация иностранных граждан) – 8.</w:t>
                  </w:r>
                </w:p>
                <w:p w:rsidR="009E6331" w:rsidRPr="00ED3AA2" w:rsidRDefault="009E6331" w:rsidP="00F00F57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Участковыми уполномоченными полиции ежемесячно обновляются списки иностранных граждан и лиц без гражданства, вставших на миграционный учет. Совместно с сотрудниками уголовного розыска проводится их проверка, постановка на фотоучет. За 2019 год было проверено 1587 иностранных граждан. Информации, представляющей оперативно-значимый интерес, не получено.</w:t>
                  </w:r>
                </w:p>
                <w:p w:rsidR="009E6331" w:rsidRPr="00ED3AA2" w:rsidRDefault="009E6331" w:rsidP="00F00F57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Информации, о фактах проявлений религиозного и национального экстремизма на обслуживаемой территории, не поступало.</w:t>
                  </w:r>
                </w:p>
                <w:p w:rsidR="009E6331" w:rsidRPr="00ED3AA2" w:rsidRDefault="009E6331" w:rsidP="002D4E9C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 xml:space="preserve">В соответствии с разделом </w:t>
                  </w:r>
                  <w:r w:rsidRPr="00ED3AA2">
                    <w:rPr>
                      <w:b/>
                      <w:bCs/>
                      <w:spacing w:val="2"/>
                      <w:sz w:val="28"/>
                      <w:szCs w:val="28"/>
                    </w:rPr>
                    <w:t>«Профилактика правонарушений, связанных с распространением алкоголизма, незаконным оборотом наркотиков</w:t>
                  </w:r>
                  <w:r w:rsidRPr="00ED3AA2">
                    <w:rPr>
                      <w:bCs/>
                      <w:spacing w:val="2"/>
                      <w:sz w:val="28"/>
                      <w:szCs w:val="28"/>
                    </w:rPr>
                    <w:t>»</w:t>
                  </w:r>
                  <w:r w:rsidRPr="00ED3AA2">
                    <w:rPr>
                      <w:b/>
                      <w:bCs/>
                      <w:spacing w:val="2"/>
                      <w:sz w:val="28"/>
                      <w:szCs w:val="28"/>
                    </w:rPr>
                    <w:t xml:space="preserve"> е</w:t>
                  </w:r>
                  <w:r w:rsidRPr="00ED3AA2">
                    <w:rPr>
                      <w:bCs/>
                      <w:sz w:val="28"/>
                      <w:szCs w:val="28"/>
                    </w:rPr>
                    <w:t>жегодно проводятся мероприятия с активным участием специалистов различных городских служб.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D3AA2">
                    <w:rPr>
                      <w:bCs/>
                      <w:sz w:val="28"/>
                      <w:szCs w:val="28"/>
                    </w:rPr>
                    <w:t xml:space="preserve">Так, сотрудниками полиции приняты дополнительные организационные меры, направленные на выявление противоправных деяний, совершенных в сфере незаконной реализации алкогольной продукции, пресечено более пяти с половиной тысяч (5845) административных правонарушений, выявлено 70 фактов реализации алкогольной продукции. 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D3AA2">
                    <w:rPr>
                      <w:bCs/>
                      <w:sz w:val="28"/>
                      <w:szCs w:val="28"/>
                    </w:rPr>
                    <w:t xml:space="preserve">Пресечена деятельность организованной преступной группы (5 человек), которая занималась сбытом наркотических средств синтетического происхождения посредством сети «Интернет», через систему «закладок».  Изъято из незаконного оборота более двух с половиной тысяч грамм наркотических средств (2761,23). </w:t>
                  </w:r>
                </w:p>
                <w:p w:rsidR="009E6331" w:rsidRPr="00ED3AA2" w:rsidRDefault="009E6331" w:rsidP="002D4E9C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bCs/>
                      <w:sz w:val="28"/>
                      <w:szCs w:val="28"/>
                    </w:rPr>
                    <w:t>Ежегодно в ноябре, в рамках проведения Всероссийской антинаркотической акции «Сообщи, где торгуют смертью» имежведомственной профилактической операции «Защита» проходят рейды по уничтожению надписей, содержащих рекламу и пропаганду наркотиков,</w:t>
                  </w:r>
                  <w:r w:rsidRPr="00ED3AA2">
                    <w:rPr>
                      <w:sz w:val="28"/>
                      <w:szCs w:val="28"/>
                    </w:rPr>
                    <w:t xml:space="preserve"> идет активная работа с Интернет-сайтом антинаркотической направленности. Баннер  «Сообщи, где торгуют смертью» размещен на официальном сайте администрации Копейского городского округа.</w:t>
                  </w:r>
                </w:p>
                <w:p w:rsidR="009E6331" w:rsidRPr="00ED3AA2" w:rsidRDefault="009E6331" w:rsidP="002D4E9C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По инициативе Отдела МВД России по городу Копейску на заседании Координирующего штаба народных дружин в Копейском городском округе командирам добровольных народных дружин  «Содействие» и МУП «КПА» рекомендовано информацию о сайтах распространителях наркотических средств, психотропных веществ и их прекурсоров (фотографии фасадов зданий с надписями сайтов и адреса расположения данной информации) представлять в группу охраны общественного порядка Отдела МВД России по городу Копейску.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Для пропаганды здорового образа жизни широко используются возможности мультимедийных установок в образовательных учреждениях, интернет сайтов, городской телерадиокомпании, газеты «Копейский рабочий», молодежные газеты «Полосатая», «Глазами молодых», печатных изданий учебных организаций.</w:t>
                  </w:r>
                </w:p>
                <w:p w:rsidR="009E6331" w:rsidRPr="00ED3AA2" w:rsidRDefault="009E6331" w:rsidP="004F5676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Управлением физической культуры, спорта и туризма КГО за отчетный период организовано и проведено 100 физкультурно-оздоровительных и спортивно-массовых мероприятий, в которых приняло участие свыше 15 тыс. человек.</w:t>
                  </w:r>
                </w:p>
                <w:p w:rsidR="009E6331" w:rsidRPr="00ED3AA2" w:rsidRDefault="009E6331" w:rsidP="00345083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В рамках проведения межведомственной оперативно – профилактической операции «Мак» ежегодно исследуются земли на предмет выявления очагов дикорастущих наркорастений и уничтожения их в летний и осенний период.</w:t>
                  </w:r>
                </w:p>
                <w:p w:rsidR="009E6331" w:rsidRPr="00ED3AA2" w:rsidRDefault="009E6331" w:rsidP="00345083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В рамках Программы 20,0 тыс. рублей реализовано на поощрение участников проведения мероприятия о здоровом образе жизни (областной турнир по боксу «Памяти погибших шахтеров и горноспасателей»;</w:t>
                  </w:r>
                </w:p>
                <w:p w:rsidR="009E6331" w:rsidRDefault="009E6331" w:rsidP="00345083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- 19,0 тыс. рублей на изготовление и установку баннеров о здоровом образе жизни.</w:t>
                  </w:r>
                </w:p>
                <w:p w:rsidR="009E6331" w:rsidRDefault="009E6331" w:rsidP="00345083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Количество лиц, состоящих на диспансерном учете с диагнозом «наркомания» в психоневрологической больнице города Копейска «ГБУЗ «ОКСПНБ № 1», диспансерное отделение № 2), по состоянию на 25 декабря 2019 года составило 542 человека, из них 98 женщин, 3 несовершеннолетних, 289 человек состоит на профилактическом учете, всего 831 человек.</w:t>
                  </w:r>
                </w:p>
                <w:p w:rsidR="009E6331" w:rsidRPr="00ED3AA2" w:rsidRDefault="009E6331" w:rsidP="00345083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 12 месяцев 2019 года на территории Копейского городского округа зафиксировано 15 смертей в результате отравления синтетическими наркотическими средствами. В аналогичном периоде прошлого года указанный показатель составил 5 человек.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color w:val="FF0000"/>
                      <w:sz w:val="28"/>
                      <w:szCs w:val="28"/>
                      <w:lang w:eastAsia="en-US"/>
                    </w:rPr>
                  </w:pPr>
                  <w:r w:rsidRPr="00ED3AA2">
                    <w:rPr>
                      <w:bCs/>
                      <w:sz w:val="28"/>
                      <w:szCs w:val="28"/>
                    </w:rPr>
                    <w:t>Несмотря на принимаемые меры в 2019 году увеличилась смертность в результате употребления наркотических средств. Борьба с незаконным оборотом наркотиков и их употреблением остается приоритетным направлением деятельности всех субъектов системы профилактики правонарушений.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В соответствии</w:t>
                  </w:r>
                  <w:r w:rsidRPr="00ED3AA2">
                    <w:rPr>
                      <w:b/>
                      <w:sz w:val="28"/>
                      <w:szCs w:val="28"/>
                    </w:rPr>
                    <w:t xml:space="preserve"> с разделом </w:t>
                  </w:r>
                  <w:r w:rsidRPr="00ED3AA2">
                    <w:rPr>
                      <w:b/>
                      <w:bCs/>
                      <w:spacing w:val="3"/>
                      <w:sz w:val="28"/>
                      <w:szCs w:val="28"/>
                    </w:rPr>
                    <w:t>«Предупреждение рецидивной преступности, профилактика правонарушений среди лиц с нарушенными социальными связями»</w:t>
                  </w:r>
                  <w:r w:rsidRPr="00ED3AA2">
                    <w:rPr>
                      <w:bCs/>
                      <w:spacing w:val="3"/>
                      <w:sz w:val="28"/>
                      <w:szCs w:val="28"/>
                    </w:rPr>
                    <w:t xml:space="preserve"> (без финансирования) проводится </w:t>
                  </w:r>
                  <w:r w:rsidRPr="00ED3AA2">
                    <w:rPr>
                      <w:sz w:val="28"/>
                      <w:szCs w:val="28"/>
                    </w:rPr>
                    <w:t>обмен информацией и контроля по прибытию лиц, освобожденных из мест лишения свободы, к месту назначения или проживания (ФСИН, ОМВД РФ по  г. Копейску).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Кроме этого организована работа уголовно-исполнительной инспекции по                          г. Копейску по своевременному информированию органов внутренних дел и органов местного самоуправления о лицах, освобождающихся из мест лишения свободы.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Отделом исполнения наказания и применения иных мер уголовно-правового характера ФГУ «УИИ ГУ ФСИН РФ по Челябинской области» при постановке на учет с каждым осужденным проводится разъяснительная, профилактическая беседа воспитательного характера по отбытию наказания, если согласно приговора суда имеется обязанность трудоустроится,  данный гражданин направляется в  областное казенное учреждение Центр занятости населения по городу Копейску, о чем отчитывается перед уголовно исполнительной инспекцией подтверждающими документами о трудоустройстве.</w:t>
                  </w:r>
                </w:p>
                <w:p w:rsidR="009E6331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Также проводятся мероприятия психологического обследования на предмет изучения личности осужденного первично встающего на учет в УИИ, о чем составляется индивидуальная справка прогноза противоправного поведения осужденного без изоляции от общества.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Достигнуто снижение числа совершенных преступлений лицами, ранее судимыми на 7,8%, ранее совершившими преступления на 13,2%.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В соответствии с разделом</w:t>
                  </w:r>
                  <w:r w:rsidRPr="00ED3AA2">
                    <w:rPr>
                      <w:b/>
                      <w:bCs/>
                      <w:spacing w:val="4"/>
                      <w:sz w:val="28"/>
                      <w:szCs w:val="28"/>
                    </w:rPr>
                    <w:t>«Профилактика правонарушений</w:t>
                  </w:r>
                  <w:r w:rsidRPr="00ED3AA2">
                    <w:rPr>
                      <w:b/>
                      <w:bCs/>
                      <w:spacing w:val="3"/>
                      <w:sz w:val="28"/>
                      <w:szCs w:val="28"/>
                    </w:rPr>
                    <w:t xml:space="preserve"> в общественных местах» </w:t>
                  </w:r>
                  <w:r w:rsidRPr="00ED3AA2">
                    <w:rPr>
                      <w:bCs/>
                      <w:spacing w:val="3"/>
                      <w:sz w:val="28"/>
                      <w:szCs w:val="28"/>
                    </w:rPr>
                    <w:t>в целях предупреждения совершения правонарушений в общественных местах в</w:t>
                  </w:r>
                  <w:r w:rsidRPr="00ED3AA2">
                    <w:rPr>
                      <w:sz w:val="28"/>
                      <w:szCs w:val="28"/>
                    </w:rPr>
                    <w:t xml:space="preserve"> округе созданы и осуществляют свою деятельность добровольная народная дружина «Содействие» (далее – ДНД «Содействие») в количестве 26 человек,</w:t>
                  </w:r>
                  <w:r w:rsidRPr="00ED3AA2">
                    <w:rPr>
                      <w:noProof/>
                      <w:sz w:val="28"/>
                      <w:szCs w:val="28"/>
                    </w:rPr>
                    <w:t xml:space="preserve"> добровольная народная автодружина МУП «КПА» в количестве 28 человек, а также Хуторское казачье общество «Тугайкульский»</w:t>
                  </w:r>
                  <w:r w:rsidRPr="00ED3AA2">
                    <w:rPr>
                      <w:sz w:val="28"/>
                      <w:szCs w:val="28"/>
                    </w:rPr>
                    <w:t>. Члены ДНД, в том числе члены казачьего общества  привлекаются к обеспечению правопорядка в соответствии с утвержденным графиком во взаимодействии с участковыми уполномоченными полиции на территории поселков, к участию в проведении ежемесячного оперативно-профилактического мероприятия «Ночь», к обеспечению общественного порядка в период проведения общегородских массовых мероприятий. С целью пропаганды участия граждан в охране общественного порядка данные мероприятия освещаются через средства массовой информации.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ED3AA2">
                    <w:rPr>
                      <w:bCs/>
                      <w:sz w:val="28"/>
                      <w:szCs w:val="28"/>
                    </w:rPr>
                    <w:t>В настоящее время в отделе участковых уполномоченных полиции Отдела МВД России по городу Копейску  работает 15 внештатных сотрудников полиции. В основном данные граждане оказывают помощь при мероприятиях по выявлению и документированию фактов: продажи спиртных напитков с нарушением правил реализации алкогольной продукции, незаконного приёма лома чёрных и цветных металлов, реализации и хранения наркотических средств.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В 2019 году на территории Копейского городского округа сотрудниками Отдела МВД России по городу Копейску обеспечено перекрытие 144 мероприятий, из них: публичных мероприятий – 36, митингов – 2, пикетов – 7. Несоблюдения организаторами, участниками массовых мероприятий, в том числе религиозных обрядов, условий, отвечающих требованиям антитеррористической защищенности мероприятий, нарушены не были. Корректирующих мер для обеспечения общественного порядка и безопасности не требовалось.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D3AA2">
                    <w:rPr>
                      <w:sz w:val="28"/>
                      <w:szCs w:val="28"/>
                    </w:rPr>
                    <w:t xml:space="preserve">В целях реализации мер </w:t>
                  </w:r>
                  <w:r w:rsidRPr="00ED3AA2">
                    <w:rPr>
                      <w:sz w:val="28"/>
                      <w:szCs w:val="28"/>
                      <w:lang w:eastAsia="en-US"/>
                    </w:rPr>
                    <w:t>по материальному стимулированию членов народных дружин за участие в охране общественного порядка на территории Копейского городского округа муниципальной программой запланировано 31,5 тыс. рублей, в результате перераспределения финансовых средств –реализовано на данное мероприятие 64,0 тыс. рублей (поощрено 16 членов ДНД: 6 – ДНД «Содействие», 10 – ДНД МУП «КПА»).</w:t>
                  </w:r>
                </w:p>
                <w:p w:rsidR="009E6331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D3AA2">
                    <w:rPr>
                      <w:sz w:val="28"/>
                      <w:szCs w:val="28"/>
                      <w:lang w:eastAsia="en-US"/>
                    </w:rPr>
                    <w:t>Дополнительно в Программу включено мероприятие по инженерно-технической защищенности объектов незавершенного строительства (жилых домов) с целью предотвращения преступлений и правонарушений (приобретение и установка видеокамер). Нереализованные,  на момент включения в программу данного мероприятия, финансовые средства перенаправлены на его реализацию. Общее финансирование составило 52,7 тыс. рублей (с учетом 20,0 тыс. рублей от  управления по имуществу и земельным отношениям АКГО). Реализовано 38,5 тыс. рублей.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 сожалению допущен рост числа зарегистрированных преступлений в общественных местах на 2,5%.</w:t>
                  </w:r>
                </w:p>
                <w:p w:rsidR="009E6331" w:rsidRDefault="009E6331" w:rsidP="00304DB1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D3AA2">
                    <w:rPr>
                      <w:sz w:val="28"/>
                      <w:szCs w:val="28"/>
                    </w:rPr>
                    <w:t>В соответствии с разделом</w:t>
                  </w:r>
                  <w:r w:rsidRPr="00ED3AA2">
                    <w:rPr>
                      <w:b/>
                      <w:sz w:val="28"/>
                      <w:szCs w:val="28"/>
                    </w:rPr>
                    <w:t xml:space="preserve"> «Профилактика правонарушений на административных участках», </w:t>
                  </w:r>
                  <w:r w:rsidRPr="00ED3AA2">
                    <w:rPr>
                      <w:sz w:val="28"/>
                      <w:szCs w:val="28"/>
                    </w:rPr>
                    <w:t xml:space="preserve"> в целях повышения эффективности деятельности участковых уполномоченных полиции в области взаимодействия с населением муниципальной программой было запланировано  </w:t>
                  </w:r>
                  <w:r w:rsidRPr="00ED3AA2">
                    <w:rPr>
                      <w:sz w:val="28"/>
                      <w:szCs w:val="28"/>
                      <w:lang w:eastAsia="en-US"/>
                    </w:rPr>
                    <w:t>20,0 тыс. рублей,  торги не состоялись, данные средства перенаправлены на поощрение членов ДНД.</w:t>
                  </w:r>
                </w:p>
                <w:p w:rsidR="009E6331" w:rsidRDefault="009E6331" w:rsidP="00304DB1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 2019 году</w:t>
                  </w:r>
                  <w:r>
                    <w:rPr>
                      <w:sz w:val="28"/>
                      <w:szCs w:val="28"/>
                    </w:rPr>
                    <w:t>в</w:t>
                  </w:r>
                  <w:r w:rsidRPr="00304DB1">
                    <w:rPr>
                      <w:sz w:val="28"/>
                      <w:szCs w:val="28"/>
                    </w:rPr>
                    <w:t xml:space="preserve"> сфере охраны общественного порядка и обеспечения общественной безопасности по оборудованию дворовых территорий системами видеонаблюдения и создания «микрорайонов безопасности» </w:t>
                  </w:r>
                  <w:r>
                    <w:rPr>
                      <w:sz w:val="28"/>
                      <w:szCs w:val="28"/>
                    </w:rPr>
                    <w:t xml:space="preserve">на территории города Копейска в помещении по адресу: г. Копейск, ул. Международная, д. 74а, открыт участковый пункт полиция совместно с сегментом АПК «Безопасный город».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На территории микрорайона «Тугайкуль» установлено 28 камер видеонаблюдения, которые выведены в диспетчерскую УК ООО «ЖилТехСервис», расположенную в одном помещении с участковым пунктом полиции.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D3AA2">
                    <w:rPr>
                      <w:bCs/>
                      <w:sz w:val="28"/>
                      <w:szCs w:val="28"/>
                    </w:rPr>
                    <w:t xml:space="preserve">В соответствии с разделом  </w:t>
                  </w:r>
                  <w:r w:rsidRPr="00ED3AA2">
                    <w:rPr>
                      <w:b/>
                      <w:bCs/>
                      <w:sz w:val="28"/>
                      <w:szCs w:val="28"/>
                    </w:rPr>
                    <w:t>«Профилактика насилия в сфере семейно-бытовых отношений»</w:t>
                  </w:r>
                  <w:r w:rsidRPr="00ED3AA2">
                    <w:rPr>
                      <w:bCs/>
                      <w:sz w:val="28"/>
                      <w:szCs w:val="28"/>
                    </w:rPr>
                    <w:t xml:space="preserve"> (без финансирования) </w:t>
                  </w:r>
                  <w:r w:rsidRPr="00ED3AA2">
                    <w:rPr>
                      <w:sz w:val="28"/>
                      <w:szCs w:val="28"/>
                    </w:rPr>
                    <w:t>ОМВД РФ по г. Копейску</w:t>
                  </w:r>
                  <w:r w:rsidRPr="00ED3AA2">
                    <w:rPr>
                      <w:bCs/>
                      <w:sz w:val="28"/>
                      <w:szCs w:val="28"/>
                    </w:rPr>
                    <w:t xml:space="preserve"> организовано взаимодействие по обмену информацией с учреждениями системы профилактики (образования, социальной защиты населения, здравоохранения).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D3AA2">
                    <w:rPr>
                      <w:bCs/>
                      <w:sz w:val="28"/>
                      <w:szCs w:val="28"/>
                    </w:rPr>
                    <w:t>Инспекторами ОПДН ежеквартально проводится сверка с управлением социальной защиты населения по неблагополучным семьям, состоящим на профилактическом учете, с целью выявления фактов неисполнения обязанностей в отношении несовершеннолетних детей, в том числе сопряженных с жестким обращением, нарушения конституционных прав детей.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Ежемесячно работает межведомственная Комиссия по работе с семьями, находящимися в социально опасном положении, на которой принимаются межведомственные меры по предотвращению семейного неблагополучия и своевременному оказанию медико-психолого-педагогической и социальной помощи каждой конкретной семье.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 xml:space="preserve">По состоянию на </w:t>
                  </w:r>
                  <w:r w:rsidRPr="00ED3AA2">
                    <w:rPr>
                      <w:b/>
                      <w:sz w:val="28"/>
                      <w:szCs w:val="28"/>
                    </w:rPr>
                    <w:t>01.01.2020</w:t>
                  </w:r>
                  <w:r w:rsidRPr="00ED3AA2">
                    <w:rPr>
                      <w:sz w:val="28"/>
                      <w:szCs w:val="28"/>
                    </w:rPr>
                    <w:t xml:space="preserve"> г.:</w:t>
                  </w:r>
                </w:p>
                <w:p w:rsidR="009E6331" w:rsidRPr="00EC68F9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C68F9">
                    <w:rPr>
                      <w:sz w:val="28"/>
                      <w:szCs w:val="28"/>
                    </w:rPr>
                    <w:t>- состоят на учете в отделении помощи семье и детям -119 (АППГ – 112) семей, из них находящиеся в трудной жизненной ситуации – 87 (АППГ -85), в социально-опасном положении – 32 (АППГ - 27).</w:t>
                  </w:r>
                </w:p>
                <w:p w:rsidR="009E6331" w:rsidRPr="00EC68F9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C68F9">
                    <w:rPr>
                      <w:sz w:val="28"/>
                      <w:szCs w:val="28"/>
                    </w:rPr>
                    <w:t>По охвату подростков, состоящих на учете в ПДН ОУУП и ПДН Отдела МВД России по г. Копейску:</w:t>
                  </w:r>
                </w:p>
                <w:p w:rsidR="009E6331" w:rsidRPr="00EC68F9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C68F9">
                    <w:rPr>
                      <w:sz w:val="28"/>
                      <w:szCs w:val="28"/>
                    </w:rPr>
                    <w:t xml:space="preserve">- по состоянию на </w:t>
                  </w:r>
                  <w:r w:rsidRPr="00EC68F9">
                    <w:rPr>
                      <w:b/>
                      <w:sz w:val="28"/>
                      <w:szCs w:val="28"/>
                    </w:rPr>
                    <w:t>01.01.2020</w:t>
                  </w:r>
                  <w:r w:rsidRPr="00EC68F9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C68F9">
                    <w:rPr>
                      <w:sz w:val="28"/>
                      <w:szCs w:val="28"/>
                    </w:rPr>
                    <w:t>- кол-во несовершеннолетних, состоящих на учете в ПДН ОМВД – 152 чел. (АППГ – 139).</w:t>
                  </w:r>
                </w:p>
                <w:p w:rsidR="009E6331" w:rsidRDefault="009E6331" w:rsidP="00D078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bCs/>
                      <w:sz w:val="28"/>
                      <w:szCs w:val="28"/>
                    </w:rPr>
                    <w:t xml:space="preserve">В соответствии с разделом </w:t>
                  </w:r>
                  <w:r w:rsidRPr="00ED3AA2">
                    <w:rPr>
                      <w:b/>
                      <w:bCs/>
                      <w:sz w:val="28"/>
                      <w:szCs w:val="28"/>
                    </w:rPr>
                    <w:t>«Профилактика в сфере экономики, коррупции, борьбы с организованной преступностью»</w:t>
                  </w:r>
                  <w:r w:rsidRPr="00ED3AA2">
                    <w:rPr>
                      <w:sz w:val="28"/>
                      <w:szCs w:val="28"/>
                    </w:rPr>
                    <w:t xml:space="preserve">  (без финансирования) Отделом МВД РФ по г. Копейску продолжена практика проведения оперативно - розыскных мероприятий. В Отделе МВД РФ по городу Копейску имеется «телефон доверия». </w:t>
                  </w:r>
                </w:p>
                <w:p w:rsidR="009E6331" w:rsidRDefault="009E6331" w:rsidP="00D078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 исполнение Национальной стратегии противодействия коррупции в 2019 году выявлено 47 нарушений закона (АППГ – 46), к дисциплинарной ответственности привлечены 23 виновных должностных лица (АППГ – 19), к административной ответственности  6 должностных лиц (АППГ - %0.</w:t>
                  </w:r>
                </w:p>
                <w:p w:rsidR="009E6331" w:rsidRPr="00ED3AA2" w:rsidRDefault="009E6331" w:rsidP="00D078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истекшем году проведены результативные проверки соблюдения должностными лицами установленных антикоррупционных законодательством обязанностей, запретов и ограничений. Выявлено 2 нарушения муниципальными служащими и рассмотрены на комиссии.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 xml:space="preserve">На официальном сайте администрации округа размещена информация о «Прямой линии» по антикоррупционному просвещению граждан. 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В соответствии с разделом</w:t>
                  </w:r>
                  <w:r w:rsidRPr="00ED3AA2">
                    <w:rPr>
                      <w:b/>
                      <w:sz w:val="28"/>
                      <w:szCs w:val="28"/>
                    </w:rPr>
                    <w:t xml:space="preserve"> «Профилактика терроризма»</w:t>
                  </w:r>
                  <w:r w:rsidRPr="00ED3AA2">
                    <w:rPr>
                      <w:sz w:val="28"/>
                      <w:szCs w:val="28"/>
                    </w:rPr>
                    <w:t>вКопейском городском округе организовано проведение информационно – пропагандистских мероприятий, направленных на повышение бдительности граждан и разъяснение порядка их действий в случае террористической угрозы, размещены телефоны доверия оперативных служб.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МУП «КПА» на постоянной основе в автобусах и маршрутных такси размещают памятки по недопущению распространения экстремизма,  профилактике угроз терроризма и действиях при обнаружении посторонних предметов.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МУ «Управление гражданской защиты населения» КГО проводятся лекции со слушателями на тему «Действия при чрезвычайных ситуациях природного и техногенного характера, а также что такое терроризм и как с ним бороться».</w:t>
                  </w:r>
                </w:p>
                <w:p w:rsidR="009E6331" w:rsidRPr="00ED3AA2" w:rsidRDefault="009E6331" w:rsidP="003E7A7B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</w:t>
                  </w:r>
                  <w:r w:rsidRPr="00ED3AA2">
                    <w:rPr>
                      <w:sz w:val="28"/>
                      <w:szCs w:val="28"/>
                    </w:rPr>
                    <w:t xml:space="preserve">    повышени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ED3AA2">
                    <w:rPr>
                      <w:sz w:val="28"/>
                      <w:szCs w:val="28"/>
                    </w:rPr>
                    <w:t xml:space="preserve">    антитеррористической   защищенности   образовательных организаций   управления   образования и здания   администрации  Копейского городского  округа  муниципальной  программой  было  </w:t>
                  </w:r>
                  <w:r>
                    <w:rPr>
                      <w:sz w:val="28"/>
                      <w:szCs w:val="28"/>
                    </w:rPr>
                    <w:t>реализовано</w:t>
                  </w:r>
                  <w:r w:rsidRPr="00ED3AA2">
                    <w:rPr>
                      <w:sz w:val="28"/>
                      <w:szCs w:val="28"/>
                    </w:rPr>
                    <w:t xml:space="preserve"> 2 148,4 тыс.  рублей:</w:t>
                  </w:r>
                </w:p>
                <w:p w:rsidR="009E6331" w:rsidRPr="00ED3AA2" w:rsidRDefault="009E6331" w:rsidP="003E7A7B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</w:rPr>
                  </w:pPr>
                  <w:r w:rsidRPr="00ED3AA2">
                    <w:rPr>
                      <w:sz w:val="28"/>
                      <w:szCs w:val="28"/>
                    </w:rPr>
                    <w:t>- 2049,0 тыс. рублей реализовано на оснащение видеонаблюдением 18 объектов образования;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ED3AA2">
                    <w:rPr>
                      <w:sz w:val="28"/>
                      <w:szCs w:val="28"/>
                    </w:rPr>
                    <w:t>-</w:t>
                  </w:r>
                  <w:r w:rsidRPr="00ED3AA2">
                    <w:rPr>
                      <w:sz w:val="28"/>
                      <w:szCs w:val="28"/>
                      <w:lang w:eastAsia="en-US"/>
                    </w:rPr>
                    <w:t xml:space="preserve">99,4тыс. рублей реализовано </w:t>
                  </w:r>
                  <w:r w:rsidRPr="00ED3AA2">
                    <w:rPr>
                      <w:sz w:val="28"/>
                      <w:szCs w:val="28"/>
                    </w:rPr>
                    <w:t>на приобретение и установку видеокамер в здании администрации КГО и кондиционера в серверную, обеспечивающую работу компьютерной сети, в том числе видеонаблюдения.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bCs/>
                      <w:spacing w:val="-4"/>
                      <w:sz w:val="28"/>
                      <w:szCs w:val="28"/>
                    </w:rPr>
                  </w:pPr>
                  <w:r w:rsidRPr="00ED3AA2">
                    <w:rPr>
                      <w:bCs/>
                      <w:spacing w:val="-4"/>
                      <w:sz w:val="28"/>
                      <w:szCs w:val="28"/>
                    </w:rPr>
                    <w:t>В связи с сохраняющейся напряженностью оперативной обстановки, в том числе нарастанием экстремистской и террористической угрозы, приняты меры по повышению эффективности  противодействию незаконному обороту оружия. За 2019 года на территории Копейского городского округа проведено 4 оперативно-профилактических мероприятий «Арсенал», в ходе проведения профилактического мероприятия «Оружие», целью которого является убеждение граждан добровольной выдачи оружия и боеприпасов,сдано 46 единиц оружия.</w:t>
                  </w:r>
                </w:p>
                <w:p w:rsidR="009E6331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D3AA2">
                    <w:rPr>
                      <w:sz w:val="28"/>
                      <w:szCs w:val="28"/>
                      <w:lang w:eastAsia="en-US"/>
                    </w:rPr>
                    <w:t>Реализованные мероприятия в сфере противодействия незаконному обороту  оружия позволили удержать ситуацию под контролем.</w:t>
                  </w:r>
                </w:p>
                <w:p w:rsidR="009E6331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 пределах своих полномочий каждый участник Программы принял участие в реализации мероприятий.</w:t>
                  </w:r>
                </w:p>
                <w:p w:rsidR="009E6331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Финансовые  средства, выделенные на реализацию мероприятий Программы, освоены на 99,9%.</w:t>
                  </w:r>
                </w:p>
                <w:p w:rsidR="009E6331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За 2019 год в сфере исполнения законодательства о противодействии терроризму выявлено 41 нарушение закона (АППГ – 41), внесено 20 представлений (АППГ – 20), по результатам рассмотрения которых привлечено к дисциплинарной ответственности 15 лиц (АППГ – 13), предъявлено 6 исков (АППГ – 6).</w:t>
                  </w:r>
                </w:p>
                <w:p w:rsidR="009E6331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D3AA2">
                    <w:rPr>
                      <w:bCs/>
                      <w:sz w:val="28"/>
                      <w:szCs w:val="28"/>
                    </w:rPr>
                    <w:t>Принимаемые меры способствуют предупреждению правонарушений, возникновению и распространению терроризма и экстремизма на территории городского округа и укреплению доверия граждан к правоохранительным органам и органам местного самоуправления.</w:t>
                  </w:r>
                </w:p>
                <w:p w:rsidR="009E6331" w:rsidRPr="00ED3AA2" w:rsidRDefault="009E6331" w:rsidP="00895309">
                  <w:pPr>
                    <w:pBdr>
                      <w:top w:val="single" w:sz="4" w:space="0" w:color="FFFFFF"/>
                      <w:left w:val="single" w:sz="4" w:space="4" w:color="FFFFFF"/>
                      <w:bottom w:val="single" w:sz="4" w:space="31" w:color="FFFFFF"/>
                      <w:right w:val="single" w:sz="4" w:space="1" w:color="FFFFFF"/>
                    </w:pBdr>
                    <w:ind w:right="14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Приоритетными направлениями остаются борьба с наркоманией, обеспечение безопасности объектов образования, культуры, спорта и объекты социальной защиты.</w:t>
                  </w:r>
                </w:p>
                <w:p w:rsidR="009E6331" w:rsidRPr="00A11DCE" w:rsidRDefault="009E6331" w:rsidP="00895309">
                  <w:pPr>
                    <w:widowControl w:val="0"/>
                    <w:autoSpaceDE w:val="0"/>
                    <w:autoSpaceDN w:val="0"/>
                    <w:adjustRightInd w:val="0"/>
                    <w:ind w:right="14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A11DCE">
                    <w:rPr>
                      <w:bCs/>
                      <w:sz w:val="28"/>
                      <w:szCs w:val="28"/>
                    </w:rPr>
                    <w:t>Начальник отдела по безопасности и взаимодействию</w:t>
                  </w:r>
                </w:p>
                <w:p w:rsidR="009E6331" w:rsidRPr="00ED3AA2" w:rsidRDefault="009E6331" w:rsidP="00A11DCE">
                  <w:pPr>
                    <w:widowControl w:val="0"/>
                    <w:autoSpaceDE w:val="0"/>
                    <w:autoSpaceDN w:val="0"/>
                    <w:adjustRightInd w:val="0"/>
                    <w:ind w:right="140"/>
                    <w:jc w:val="both"/>
                    <w:rPr>
                      <w:noProof/>
                      <w:color w:val="FF0000"/>
                      <w:sz w:val="28"/>
                      <w:szCs w:val="28"/>
                    </w:rPr>
                  </w:pPr>
                  <w:r w:rsidRPr="00A11DCE">
                    <w:rPr>
                      <w:bCs/>
                      <w:sz w:val="28"/>
                      <w:szCs w:val="28"/>
                    </w:rPr>
                    <w:t>с правоохранительными органами                                                    С.Н. Комаров</w:t>
                  </w:r>
                </w:p>
              </w:tc>
            </w:tr>
          </w:tbl>
          <w:p w:rsidR="009E6331" w:rsidRPr="00ED3AA2" w:rsidRDefault="009E6331" w:rsidP="00A11DCE">
            <w:pPr>
              <w:widowControl w:val="0"/>
              <w:tabs>
                <w:tab w:val="num" w:pos="0"/>
              </w:tabs>
              <w:ind w:right="140" w:firstLine="709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E6331" w:rsidRPr="00ED3AA2" w:rsidRDefault="009E6331" w:rsidP="00895309">
      <w:pPr>
        <w:ind w:right="140" w:hanging="180"/>
        <w:rPr>
          <w:color w:val="FF0000"/>
          <w:sz w:val="28"/>
          <w:szCs w:val="28"/>
        </w:rPr>
      </w:pPr>
    </w:p>
    <w:p w:rsidR="009E6331" w:rsidRPr="00ED3AA2" w:rsidRDefault="009E6331" w:rsidP="00895309">
      <w:pPr>
        <w:ind w:right="140"/>
        <w:rPr>
          <w:color w:val="FF0000"/>
          <w:sz w:val="28"/>
          <w:szCs w:val="28"/>
        </w:rPr>
      </w:pPr>
    </w:p>
    <w:p w:rsidR="009E6331" w:rsidRPr="00ED3AA2" w:rsidRDefault="009E6331">
      <w:pPr>
        <w:ind w:right="140"/>
        <w:rPr>
          <w:color w:val="FF0000"/>
          <w:sz w:val="28"/>
          <w:szCs w:val="28"/>
        </w:rPr>
      </w:pPr>
    </w:p>
    <w:sectPr w:rsidR="009E6331" w:rsidRPr="00ED3AA2" w:rsidSect="00067A21">
      <w:headerReference w:type="even" r:id="rId6"/>
      <w:headerReference w:type="default" r:id="rId7"/>
      <w:pgSz w:w="11906" w:h="16838"/>
      <w:pgMar w:top="567" w:right="567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31" w:rsidRDefault="009E6331">
      <w:r>
        <w:separator/>
      </w:r>
    </w:p>
  </w:endnote>
  <w:endnote w:type="continuationSeparator" w:id="0">
    <w:p w:rsidR="009E6331" w:rsidRDefault="009E6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31" w:rsidRDefault="009E6331">
      <w:r>
        <w:separator/>
      </w:r>
    </w:p>
  </w:footnote>
  <w:footnote w:type="continuationSeparator" w:id="0">
    <w:p w:rsidR="009E6331" w:rsidRDefault="009E6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31" w:rsidRDefault="009E6331" w:rsidP="00B331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331" w:rsidRDefault="009E63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31" w:rsidRDefault="009E6331" w:rsidP="00B331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E6331" w:rsidRDefault="009E63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B43"/>
    <w:rsid w:val="00002D99"/>
    <w:rsid w:val="00043E58"/>
    <w:rsid w:val="00067A21"/>
    <w:rsid w:val="000B284D"/>
    <w:rsid w:val="000C45F0"/>
    <w:rsid w:val="001037D6"/>
    <w:rsid w:val="00135BFE"/>
    <w:rsid w:val="001C2294"/>
    <w:rsid w:val="001D01D5"/>
    <w:rsid w:val="001D0EF8"/>
    <w:rsid w:val="002A7B43"/>
    <w:rsid w:val="002B3F8B"/>
    <w:rsid w:val="002D4E9C"/>
    <w:rsid w:val="00301D8D"/>
    <w:rsid w:val="00304DB1"/>
    <w:rsid w:val="0032148E"/>
    <w:rsid w:val="00345083"/>
    <w:rsid w:val="003E7A7B"/>
    <w:rsid w:val="00403B5C"/>
    <w:rsid w:val="00437070"/>
    <w:rsid w:val="00437B12"/>
    <w:rsid w:val="00456F60"/>
    <w:rsid w:val="004C4D22"/>
    <w:rsid w:val="004C7330"/>
    <w:rsid w:val="004E3263"/>
    <w:rsid w:val="004F5676"/>
    <w:rsid w:val="004F6F01"/>
    <w:rsid w:val="0052125F"/>
    <w:rsid w:val="0054056A"/>
    <w:rsid w:val="00573B64"/>
    <w:rsid w:val="005A167B"/>
    <w:rsid w:val="005A4011"/>
    <w:rsid w:val="005A60DB"/>
    <w:rsid w:val="006312CF"/>
    <w:rsid w:val="00641F65"/>
    <w:rsid w:val="00681E6D"/>
    <w:rsid w:val="006B67C1"/>
    <w:rsid w:val="006C2F79"/>
    <w:rsid w:val="006D3773"/>
    <w:rsid w:val="006E3900"/>
    <w:rsid w:val="0071376B"/>
    <w:rsid w:val="007324EC"/>
    <w:rsid w:val="0073702A"/>
    <w:rsid w:val="007824CD"/>
    <w:rsid w:val="00791370"/>
    <w:rsid w:val="007D1BE2"/>
    <w:rsid w:val="007E4012"/>
    <w:rsid w:val="0080147C"/>
    <w:rsid w:val="00843E7B"/>
    <w:rsid w:val="00895309"/>
    <w:rsid w:val="008B149D"/>
    <w:rsid w:val="008B3417"/>
    <w:rsid w:val="008C126F"/>
    <w:rsid w:val="008C7601"/>
    <w:rsid w:val="00903741"/>
    <w:rsid w:val="009206A8"/>
    <w:rsid w:val="009374F6"/>
    <w:rsid w:val="00941E84"/>
    <w:rsid w:val="00944F94"/>
    <w:rsid w:val="00970AC9"/>
    <w:rsid w:val="009C3A24"/>
    <w:rsid w:val="009E55D2"/>
    <w:rsid w:val="009E6331"/>
    <w:rsid w:val="00A052C2"/>
    <w:rsid w:val="00A11DCE"/>
    <w:rsid w:val="00A1721F"/>
    <w:rsid w:val="00A34863"/>
    <w:rsid w:val="00A41FCD"/>
    <w:rsid w:val="00A44DBB"/>
    <w:rsid w:val="00A843B9"/>
    <w:rsid w:val="00AB0024"/>
    <w:rsid w:val="00AE3A1C"/>
    <w:rsid w:val="00B2622A"/>
    <w:rsid w:val="00B331FC"/>
    <w:rsid w:val="00C01FED"/>
    <w:rsid w:val="00C0626D"/>
    <w:rsid w:val="00C068AE"/>
    <w:rsid w:val="00C13A64"/>
    <w:rsid w:val="00C14084"/>
    <w:rsid w:val="00C364A8"/>
    <w:rsid w:val="00C37440"/>
    <w:rsid w:val="00CA26E7"/>
    <w:rsid w:val="00CA6EED"/>
    <w:rsid w:val="00CB6258"/>
    <w:rsid w:val="00CE709A"/>
    <w:rsid w:val="00CF6DE3"/>
    <w:rsid w:val="00D049DD"/>
    <w:rsid w:val="00D07809"/>
    <w:rsid w:val="00D46A5B"/>
    <w:rsid w:val="00D927D7"/>
    <w:rsid w:val="00DA6572"/>
    <w:rsid w:val="00E35C27"/>
    <w:rsid w:val="00E4194B"/>
    <w:rsid w:val="00E46D13"/>
    <w:rsid w:val="00E5366D"/>
    <w:rsid w:val="00E64A82"/>
    <w:rsid w:val="00E82332"/>
    <w:rsid w:val="00EB6A83"/>
    <w:rsid w:val="00EB7D62"/>
    <w:rsid w:val="00EC68F9"/>
    <w:rsid w:val="00ED3AA2"/>
    <w:rsid w:val="00EF15BE"/>
    <w:rsid w:val="00F00F57"/>
    <w:rsid w:val="00F26D80"/>
    <w:rsid w:val="00F4116F"/>
    <w:rsid w:val="00F46D11"/>
    <w:rsid w:val="00FB1933"/>
    <w:rsid w:val="00FB70B2"/>
    <w:rsid w:val="00FD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3A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3A1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E3A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0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E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643</TotalTime>
  <Pages>10</Pages>
  <Words>3915</Words>
  <Characters>22319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Зубковская Ольга Григорьевна</dc:creator>
  <cp:keywords/>
  <dc:description/>
  <cp:lastModifiedBy>Admin</cp:lastModifiedBy>
  <cp:revision>61</cp:revision>
  <cp:lastPrinted>2020-02-19T08:46:00Z</cp:lastPrinted>
  <dcterms:created xsi:type="dcterms:W3CDTF">2019-07-23T09:13:00Z</dcterms:created>
  <dcterms:modified xsi:type="dcterms:W3CDTF">2020-02-27T09:38:00Z</dcterms:modified>
</cp:coreProperties>
</file>